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DE65"/>
  <w:body>
    <w:tbl>
      <w:tblPr>
        <w:tblW w:w="492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20"/>
      </w:tblGrid>
      <w:tr w:rsidR="00897245" w:rsidTr="0089724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83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7821"/>
              <w:gridCol w:w="1080"/>
            </w:tblGrid>
            <w:tr w:rsidR="00897245" w:rsidTr="00196089">
              <w:trPr>
                <w:gridAfter w:val="1"/>
                <w:wAfter w:w="33" w:type="pct"/>
                <w:tblCellSpacing w:w="0" w:type="dxa"/>
                <w:jc w:val="center"/>
              </w:trPr>
              <w:tc>
                <w:tcPr>
                  <w:tcW w:w="4967" w:type="pct"/>
                  <w:gridSpan w:val="2"/>
                  <w:vAlign w:val="center"/>
                  <w:hideMark/>
                </w:tcPr>
                <w:p w:rsidR="00897245" w:rsidRDefault="00897245">
                  <w:pPr>
                    <w:rPr>
                      <w:rFonts w:ascii="Arial" w:eastAsia="Times New Roman" w:hAnsi="Arial" w:cs="Arial"/>
                      <w:color w:val="595741"/>
                    </w:rPr>
                  </w:pPr>
                </w:p>
              </w:tc>
            </w:tr>
            <w:tr w:rsidR="00897245" w:rsidTr="0019608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97245" w:rsidRDefault="00897245">
                  <w:pPr>
                    <w:numPr>
                      <w:ilvl w:val="0"/>
                      <w:numId w:val="5"/>
                    </w:numPr>
                    <w:spacing w:after="117"/>
                    <w:ind w:left="419"/>
                    <w:rPr>
                      <w:rFonts w:ascii="Arial" w:eastAsia="Times New Roman" w:hAnsi="Arial" w:cs="Arial"/>
                      <w:b/>
                      <w:bCs/>
                      <w:color w:val="595741"/>
                      <w:sz w:val="19"/>
                      <w:szCs w:val="19"/>
                    </w:rPr>
                  </w:pPr>
                </w:p>
              </w:tc>
              <w:tc>
                <w:tcPr>
                  <w:tcW w:w="4964" w:type="pct"/>
                  <w:hideMark/>
                </w:tcPr>
                <w:tbl>
                  <w:tblPr>
                    <w:tblW w:w="48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86"/>
                  </w:tblGrid>
                  <w:tr w:rsidR="008972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04"/>
                          <w:gridCol w:w="6"/>
                        </w:tblGrid>
                        <w:tr w:rsidR="008972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7245" w:rsidRDefault="00897245">
                              <w:pP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7245" w:rsidRDefault="00897245">
                              <w:pP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</w:p>
                          </w:tc>
                        </w:tr>
                        <w:tr w:rsidR="0089724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897245" w:rsidRDefault="00897245">
                              <w:pPr>
                                <w:pStyle w:val="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Методика расчета уровней изоляции приемника от передатчика в дуплексном ретрансляторе.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897245" w:rsidRDefault="00897245">
                              <w:pP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</w:p>
                          </w:tc>
                        </w:tr>
                      </w:tbl>
                      <w:p w:rsidR="00897245" w:rsidRDefault="00897245">
                        <w:pPr>
                          <w:pStyle w:val="a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Основной задачей при проектировании конфигурации и выборе нужного оборудования дуплексного ретранслятора является определение необходимых уровней изоляции входных цепей приемника от антенных цепей передатчика.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 xml:space="preserve">Здесь и далее под термином "изоляция" подразумевается не привычное понятие электрической изоляции, а разница в уровнях сигнала в одной цепи (линии связи), но на разных частотах (для фильтровых систем (рис.1), в разных направлениях (для вентилей,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циркуляторов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(рис.2,4) или для разнесённых антенн (рис.3). </w:t>
                        </w:r>
                        <w:proofErr w:type="gramEnd"/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05"/>
                          <w:gridCol w:w="66"/>
                          <w:gridCol w:w="3090"/>
                          <w:gridCol w:w="81"/>
                        </w:tblGrid>
                        <w:tr w:rsidR="0089724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7245" w:rsidRDefault="00897245">
                              <w:pP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595741"/>
                                </w:rPr>
                                <w:drawing>
                                  <wp:inline distT="0" distB="0" distL="0" distR="0">
                                    <wp:extent cx="1903095" cy="1605280"/>
                                    <wp:effectExtent l="19050" t="0" r="1905" b="0"/>
                                    <wp:docPr id="32" name="Рисунок 11" descr="https://www.radial.ru/faq/texts/images/metodika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www.radial.ru/faq/texts/images/metodika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3095" cy="1605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97245" w:rsidRDefault="0089724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  <w:t xml:space="preserve">Рисунок 1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7245" w:rsidRDefault="00897245">
                              <w:pP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7245" w:rsidRDefault="00897245">
                              <w:pP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595741"/>
                                </w:rPr>
                                <w:drawing>
                                  <wp:inline distT="0" distB="0" distL="0" distR="0">
                                    <wp:extent cx="1903095" cy="1743710"/>
                                    <wp:effectExtent l="19050" t="0" r="1905" b="0"/>
                                    <wp:docPr id="33" name="Рисунок 12" descr="https://www.radial.ru/faq/texts/images/metodika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www.radial.ru/faq/texts/images/metodika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3095" cy="1743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97245" w:rsidRDefault="0089724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  <w:t xml:space="preserve">Рисунок 2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7245" w:rsidRDefault="00897245">
                              <w:pP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</w:p>
                          </w:tc>
                        </w:tr>
                        <w:tr w:rsidR="0089724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7245" w:rsidRDefault="00897245">
                              <w:pP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595741"/>
                                </w:rPr>
                                <w:drawing>
                                  <wp:inline distT="0" distB="0" distL="0" distR="0">
                                    <wp:extent cx="1711960" cy="2105025"/>
                                    <wp:effectExtent l="19050" t="0" r="2540" b="0"/>
                                    <wp:docPr id="43" name="Рисунок 13" descr="https://www.radial.ru/faq/texts/images/metodika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www.radial.ru/faq/texts/images/metodika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1960" cy="2105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97245" w:rsidRDefault="0089724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  <w:t xml:space="preserve">Рисунок 3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7245" w:rsidRDefault="00897245">
                              <w:pP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7245" w:rsidRDefault="00897245">
                              <w:pP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595741"/>
                                </w:rPr>
                                <w:drawing>
                                  <wp:inline distT="0" distB="0" distL="0" distR="0">
                                    <wp:extent cx="1903095" cy="1690370"/>
                                    <wp:effectExtent l="19050" t="0" r="1905" b="0"/>
                                    <wp:docPr id="44" name="Рисунок 14" descr="https://www.radial.ru/faq/texts/images/metodika4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www.radial.ru/faq/texts/images/metodika4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3095" cy="1690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97245" w:rsidRDefault="0089724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  <w:t xml:space="preserve">Рисунок 4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97245" w:rsidRDefault="00897245">
                              <w:pP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</w:p>
                          </w:tc>
                        </w:tr>
                      </w:tbl>
                      <w:p w:rsidR="00897245" w:rsidRDefault="00897245">
                        <w:pPr>
                          <w:pStyle w:val="a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Изоляция - значение относительное и измеряется в децибелах 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dB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). Следует сразу заметить, что во всех случаях достижение высокой изоляции всегда сопровождается повышением вносимых потерь сигнала.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Чтобы рассчитать требуемую изоляцию между высокочастотными портами приемника и передатчика ретранслятора, необходимы следующие параметры будущей системы: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1. Частота передачи 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Ftx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) 164.000 МГц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2. Частота приема 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Frx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) 160.000 МГц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>3. Мощность передатчика 25 Вт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4. Чувствительность приемника (SINAD 12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dB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) - 0.15 мкВ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  <w:p w:rsidR="00897245" w:rsidRDefault="00897245">
                        <w:pPr>
                          <w:pStyle w:val="a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Далее поступайте следующим образом:</w:t>
                        </w:r>
                      </w:p>
                      <w:p w:rsidR="00897245" w:rsidRDefault="00897245">
                        <w:pPr>
                          <w:pStyle w:val="a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1. Определите разницу ΔF между частотами передачи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Ftx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и приема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Frx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ΔF =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Ftx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Frx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, МГц ΔF = 164-160 = 4 МГц</w:t>
                        </w:r>
                      </w:p>
                      <w:p w:rsidR="00897245" w:rsidRDefault="00897245">
                        <w:pPr>
                          <w:pStyle w:val="a5"/>
                          <w:spacing w:after="24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2. С помощью графика (рис.5) определите требуемую изоляцию между ВЧ портами приемника и передатчика на частоте приема (кривая RX) и на частоте передатчика (кривая TX). 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  <w:t xml:space="preserve">Находим: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RX = -23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dB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TX = -40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dB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  <w:p w:rsidR="00897245" w:rsidRDefault="00897245">
                        <w:pPr>
                          <w:jc w:val="center"/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595741"/>
                          </w:rPr>
                          <w:drawing>
                            <wp:inline distT="0" distB="0" distL="0" distR="0">
                              <wp:extent cx="4762500" cy="3314700"/>
                              <wp:effectExtent l="19050" t="0" r="0" b="0"/>
                              <wp:docPr id="45" name="Рисунок 15" descr="https://www.radial.ru/faq/texts/metodika/metodika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radial.ru/faq/texts/metodika/metodika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3314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7245" w:rsidRDefault="00897245">
                        <w:pPr>
                          <w:jc w:val="center"/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741"/>
                          </w:rPr>
                          <w:t>Рисунок 5</w:t>
                        </w:r>
                      </w:p>
                      <w:p w:rsidR="00897245" w:rsidRDefault="00897245">
                        <w:pPr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</w:p>
                      <w:p w:rsidR="00897245" w:rsidRDefault="00897245">
                        <w:pPr>
                          <w:pStyle w:val="a5"/>
                          <w:spacing w:after="24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Хочу сразу пояснить, почему необходимы эти два значения. Дело в том, что при включении близкорасположенного передатчика приёмник воспринимает помимо мощного сигнала основной частоты (передатчика - 164 МГц), вследствие ограниченной собственной избирательности, ещё и на своей частоте приёма 160 МГц его шумы, которые непременно будут возникать в процессе его работы. Однако эти графики, взятые из каталога "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Telewave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" видимо рассчитаны на ретрансляторы, у которых приемники имеют достаточно узкополосные УВЧ (возможно, этим графикам столько же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лет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сколько самой фирме). Современные же приёмники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радиостанций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на которых в нашей стране чаще всего строят ретрансляторы: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Kenwood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Motorolla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имеют более широкополосные входные цепи - их полоса пропускания составляет около 7 МГц. А это означает, что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любой мешающий сигнал, попадающий в эту полосу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будет усиливаться УВЧ так же, как и полезный сигнал. Динамический диапазон УВЧ примерно равен 70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dB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Отсюда следует, что для достижения паспортной чувствительности приёмника в своей полосе пропускания он не должен иметь мешающих сигналов, превышающих 1 мВ.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lastRenderedPageBreak/>
                          <w:t xml:space="preserve">Для примера, также приводим график типовой характеристики из каталога американской фирмы "TX/RX", инженеры которой усреднили вышеприведенные графики (рис. 6-1,2). </w:t>
                        </w:r>
                      </w:p>
                      <w:p w:rsidR="00897245" w:rsidRDefault="00897245">
                        <w:pPr>
                          <w:jc w:val="center"/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595741"/>
                          </w:rPr>
                          <w:drawing>
                            <wp:inline distT="0" distB="0" distL="0" distR="0">
                              <wp:extent cx="4762500" cy="2457450"/>
                              <wp:effectExtent l="19050" t="0" r="0" b="0"/>
                              <wp:docPr id="46" name="Рисунок 16" descr="https://www.radial.ru/faq/texts/metodika/metodika6-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radial.ru/faq/texts/metodika/metodika6-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2457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7245" w:rsidRDefault="00897245">
                        <w:pPr>
                          <w:jc w:val="center"/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741"/>
                          </w:rPr>
                          <w:t>Рисунок 6-1</w:t>
                        </w:r>
                      </w:p>
                      <w:p w:rsidR="00897245" w:rsidRDefault="00897245">
                        <w:pPr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</w:p>
                      <w:p w:rsidR="00897245" w:rsidRDefault="00897245">
                        <w:pPr>
                          <w:jc w:val="center"/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595741"/>
                          </w:rPr>
                          <w:drawing>
                            <wp:inline distT="0" distB="0" distL="0" distR="0">
                              <wp:extent cx="4762500" cy="2428875"/>
                              <wp:effectExtent l="19050" t="0" r="0" b="0"/>
                              <wp:docPr id="47" name="Рисунок 17" descr="https://www.radial.ru/faq/texts/metodika/metodika6-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ww.radial.ru/faq/texts/metodika/metodika6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2428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7245" w:rsidRDefault="00897245">
                        <w:pPr>
                          <w:jc w:val="center"/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741"/>
                          </w:rPr>
                          <w:t>Рисунок 6-2</w:t>
                        </w:r>
                      </w:p>
                      <w:p w:rsidR="00897245" w:rsidRDefault="00897245">
                        <w:pPr>
                          <w:pStyle w:val="a5"/>
                          <w:spacing w:after="24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3. По номограмме (рис. 7) определите значение корректировки по мощности, т.к. кривая TX нормализована к 65 Вт и при этой мощности не требуется корректировки. Если передатчик имеет меньшую мощность, то из значения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iTX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нужно вычесть 4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dB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, при большей мощности, соответственно, добавить. </w:t>
                        </w:r>
                      </w:p>
                      <w:p w:rsidR="00897245" w:rsidRDefault="00897245">
                        <w:pPr>
                          <w:jc w:val="center"/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595741"/>
                          </w:rPr>
                          <w:drawing>
                            <wp:inline distT="0" distB="0" distL="0" distR="0">
                              <wp:extent cx="4762500" cy="1476375"/>
                              <wp:effectExtent l="19050" t="0" r="0" b="0"/>
                              <wp:docPr id="48" name="Рисунок 18" descr="https://www.radial.ru/faq/texts/metodika/metodika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www.radial.ru/faq/texts/metodika/metodika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1476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7245" w:rsidRDefault="00897245">
                        <w:pPr>
                          <w:jc w:val="center"/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741"/>
                          </w:rPr>
                          <w:t>Рисунок 7</w:t>
                        </w:r>
                      </w:p>
                      <w:p w:rsidR="00897245" w:rsidRDefault="00897245">
                        <w:pPr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</w:p>
                      <w:p w:rsidR="00897245" w:rsidRDefault="00897245">
                        <w:pPr>
                          <w:pStyle w:val="a5"/>
                          <w:spacing w:after="24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 xml:space="preserve">4. То же самое необходимо проделать при корректировке значения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iRX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(номограмма на рис. 8), т.к. кривая RX подразумевает чувствительность 0,3 мкВ. Если же приёмник имеет более высокую чувствительность, например, 0,15 мкВ, то и требование по изоляции должно быть выше: к значению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iRX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= 23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dB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надо прибавить 6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dB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  <w:p w:rsidR="00897245" w:rsidRDefault="00897245">
                        <w:pPr>
                          <w:jc w:val="center"/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595741"/>
                          </w:rPr>
                          <w:drawing>
                            <wp:inline distT="0" distB="0" distL="0" distR="0">
                              <wp:extent cx="4762500" cy="1381125"/>
                              <wp:effectExtent l="19050" t="0" r="0" b="0"/>
                              <wp:docPr id="49" name="Рисунок 19" descr="https://www.radial.ru/faq/texts/metodika/metodika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www.radial.ru/faq/texts/metodika/metodika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7245" w:rsidRDefault="00897245">
                        <w:pPr>
                          <w:jc w:val="center"/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741"/>
                          </w:rPr>
                          <w:t>Рисунок 8</w:t>
                        </w:r>
                      </w:p>
                      <w:p w:rsidR="00897245" w:rsidRDefault="00897245">
                        <w:pPr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</w:p>
                      <w:p w:rsidR="00897245" w:rsidRDefault="00897245">
                        <w:pPr>
                          <w:pStyle w:val="a5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Итак, теперь мы имеем чёткое представление о требуемой изоляции приемника от излучения передатчика, которые равны соответственно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iTX=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36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dB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iRX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= 29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dB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. Только после этого мы можем планировать дальнейшее построение ретранслятора. Рассмотрим методы построения одноканальных ретрансляторов. </w:t>
                        </w:r>
                      </w:p>
                      <w:tbl>
                        <w:tblPr>
                          <w:tblW w:w="4956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42"/>
                        </w:tblGrid>
                        <w:tr w:rsidR="00897245" w:rsidTr="00897245">
                          <w:trPr>
                            <w:divId w:val="102120666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7530"/>
                                <w:gridCol w:w="6"/>
                              </w:tblGrid>
                              <w:tr w:rsidR="00897245" w:rsidTr="001D0B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897245" w:rsidRDefault="00897245" w:rsidP="001D0BF5">
                                    <w:pPr>
                                      <w:rPr>
                                        <w:rFonts w:ascii="Arial" w:eastAsia="Times New Roman" w:hAnsi="Arial" w:cs="Arial"/>
                                        <w:color w:val="595741"/>
                                      </w:rPr>
                                    </w:pPr>
                                  </w:p>
                                </w:tc>
                              </w:tr>
                              <w:tr w:rsidR="00897245" w:rsidTr="001D0B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97245" w:rsidRDefault="00897245" w:rsidP="00196089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117"/>
                                      <w:ind w:left="419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95741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485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530"/>
                                    </w:tblGrid>
                                    <w:tr w:rsidR="00897245" w:rsidTr="001D0BF5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95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449"/>
                                            <w:gridCol w:w="6"/>
                                          </w:tblGrid>
                                          <w:tr w:rsidR="00897245" w:rsidTr="001D0BF5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97245" w:rsidRDefault="00897245" w:rsidP="001D0BF5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97245" w:rsidRDefault="00897245" w:rsidP="001D0BF5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97245" w:rsidTr="001D0BF5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bottom"/>
                                                <w:hideMark/>
                                              </w:tcPr>
                                              <w:p w:rsidR="00897245" w:rsidRDefault="00897245" w:rsidP="001D0BF5">
                                                <w:pPr>
                                                  <w:pStyle w:val="1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Методика расчета уровней изоляции приемника от передатчика в дуплексном ретрансляторе.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97245" w:rsidRDefault="00897245" w:rsidP="001D0BF5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897245" w:rsidRDefault="00897245" w:rsidP="001D0BF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95741"/>
                                            </w:rPr>
                                            <w:t>Одноканальный ретранслятор на двух антеннах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5"/>
                                            <w:gridCol w:w="4425"/>
                                          </w:tblGrid>
                                          <w:tr w:rsidR="00897245" w:rsidTr="001D0BF5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97245" w:rsidRDefault="00897245" w:rsidP="001D0BF5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59574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0" cy="1847850"/>
                                                      <wp:effectExtent l="19050" t="0" r="0" b="0"/>
                                                      <wp:docPr id="61" name="Рисунок 11" descr="https://www.radial.ru/faq/texts/metodika2/metodika9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www.radial.ru/faq/texts/metodika2/metodika9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0" cy="18478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897245" w:rsidRDefault="00897245" w:rsidP="001D0BF5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  <w:t>Рисунок 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97245" w:rsidRDefault="00897245" w:rsidP="001D0BF5">
                                                <w:pPr>
                                                  <w:pStyle w:val="a5"/>
                                                  <w:rPr>
                                                    <w:rFonts w:ascii="Arial" w:hAnsi="Arial" w:cs="Aria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 xml:space="preserve">Рассмотрим такую схему построения ретранслятора (рис.9), при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>которой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hAnsi="Arial" w:cs="Arial"/>
                                                  </w:rPr>
                                                  <w:t xml:space="preserve"> разнос ТХ/RX составит 4 МГц, мощность передатчика — 25 Вт.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97245" w:rsidRDefault="00897245" w:rsidP="001D0BF5">
                                          <w:pPr>
                                            <w:pStyle w:val="a5"/>
                                            <w:spacing w:after="240" w:afterAutospacing="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Это, наверное, самая популярная и в то же время самая примитивная схема ретранслятора. Она обычно строится из двух радиостанций. Сигнал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Frx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, принятый приёмной антенной, по фидеру достигает приёмника. Обработанный НЧ сигнал поступает на микрофонный вход передатчика. Сигнал управления, идущий по отдельному проводу от приёмника, включает передатчик, который, в свою очередь, излучает сигнал с частотой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Ftx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, несущей информацию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Frx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. Однако, несмотря на такое очевидное достоинство, как дешевизна, данная схема обладает рядом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lastRenderedPageBreak/>
                                            <w:t xml:space="preserve">недостатков. Первое, с чем сталкиваются создатели такой системы — это «запирание» приёмника сигналом собственного передатчика. Дело в том, что любой приёмник характеризуется таким параметром, как избирательность. Избирательность автомобильных радиостанций, на которых преимущественно реализуют недорогие ретрансляторы, как правило, невысокая. Их входные контура не способны в достаточной мере ослабить сигнал, наводимый близкорасположенным передатчиком. А его мощность обычно «раскручивают» на максимум — 40-45 Вт. В результате чувствительность такого ретранслятора резко снижается, а зона обслуживания уменьшается до нескольких километров. Поэтому, прежде чем монтировать антенны, необходимо определить минимально допустимое расстояние между антеннами. Это можно сделать с помощью следующих графиков. </w:t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595741"/>
                                            </w:rPr>
                                            <w:drawing>
                                              <wp:inline distT="0" distB="0" distL="0" distR="0">
                                                <wp:extent cx="4762500" cy="2581275"/>
                                                <wp:effectExtent l="19050" t="0" r="0" b="0"/>
                                                <wp:docPr id="62" name="Рисунок 12" descr="https://www.radial.ru/faq/texts/metodika2/metodika10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s://www.radial.ru/faq/texts/metodika2/metodika10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2581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  <w:t>График 1: Зависимость изоляции между антеннами от их вертикального разноса</w:t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</w:p>
                                        <w:p w:rsidR="00897245" w:rsidRDefault="00897245" w:rsidP="001D0BF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595741"/>
                                            </w:rPr>
                                            <w:drawing>
                                              <wp:inline distT="0" distB="0" distL="0" distR="0">
                                                <wp:extent cx="4762500" cy="2638425"/>
                                                <wp:effectExtent l="19050" t="0" r="0" b="0"/>
                                                <wp:docPr id="63" name="Рисунок 13" descr="https://www.radial.ru/faq/texts/metodika2/metodika1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www.radial.ru/faq/texts/metodika2/metodika1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2638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  <w:t>График 2: Зависимость изоляции между антеннами от их горизонтального разноса</w:t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</w:p>
                                        <w:p w:rsidR="00897245" w:rsidRDefault="00897245" w:rsidP="001D0BF5">
                                          <w:pPr>
                                            <w:pStyle w:val="a5"/>
                                            <w:spacing w:after="240" w:afterAutospacing="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lastRenderedPageBreak/>
                                            <w:t>Также понадобится график зависимости изоляции от частотного разноса TX/RX и мощности передатчика (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см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. рис. 6). Так, по этому графику можно определить, какой минимальный уровень изоляции между TX и RX требуется для достижения высокой чувствительности ретранслятора с мощностью передатчика P (Вт) и частотным разносом 4 МГц. Например, при мощности 25 Ватт мы видим, что изоляция должна быть не менее 54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 xml:space="preserve">Из графика 2 определяем, что для достижения такой изоляции требуется устанавливать антенны на расстоянии около 115 м. Причем, в данном случае расчёт ведётся относительно антенн с нулевым усилением (полуволновые диполи или четвертьволновые GP).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Если же в качестве приёмной и передающей антенн используются высокоэффективные коллинеарные направленные антенны с усилением 6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каждая, то вместо 54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потребуется изоляция в 66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, что в свою очередь, увеличит горизонтальный разнос до 400 м.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>Чтобы обеспечить установку двух антенн на таком расстоянии, потребуется радиочастотный коаксиальный кабель как минимум такой же длины.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Нетрудно догадаться, что такой метод неприемлем из-за больших потерь и дороговизны. Поэтому приходится размещать приёмник и передатчик в разных зданиях, а коммутацию между ними проводить обычным полевым телефонным проводом. Некоторые специалисты приспосабливают для этого бытовые радиотелефоны «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Panasonic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» или аппараты стандарта DECT. Эта методика может завести в тупик, т.к. с увеличением разноса появляется новая проблема — может возникнуть ситуация, когда оператор, слыша передачу репитера, находится в теневой зоне его приёмной антенны. В данном случае будет очень тяжело найти точку на местности (особенно в городе или на большом удалении от репитера), где и ты слышишь сигнал репитера, и он слышит тебя. Ретранслятор с общей приёмо-передающей антенной избавлен от такого недостатка.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>Следующим шагом, который обычно делают установщики, является включение в цепь приёмника и (или) передатчика полосового фильтра (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см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. рис. 10). Для обеспечения высокой добротности их обычно выполняют на основе объемного четвертьволнового коаксиального резонатора (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см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. рис. 11). Любой полосовой фильтр обладает следующими основными характеристиками: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>1. Нагруженная добротность — величина относительная, обычно у 5-ти дюймовых банок лежит в пределе 400-500, у 8-ми дюймовых банок- 700-800 единиц.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 xml:space="preserve">2. Потери в полосе прозрачности,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. Обычно применяют фильтры с потерями не более 3-4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, но в некоторых случаях допускаются потери и до 6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>3. Полоса пропускания по уровню — 3dB.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>4. Волновое сопротивление — как правило, 50 Ом.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 xml:space="preserve">5. Максимальная подводимая мощность — обычно не более 350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lastRenderedPageBreak/>
                                            <w:t xml:space="preserve">Вт. 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5"/>
                                            <w:gridCol w:w="66"/>
                                            <w:gridCol w:w="3105"/>
                                          </w:tblGrid>
                                          <w:tr w:rsidR="00897245" w:rsidTr="001D0BF5">
                                            <w:trPr>
                                              <w:gridAfter w:val="2"/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97245" w:rsidRDefault="00897245" w:rsidP="001D0BF5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897245" w:rsidTr="001D0BF5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97245" w:rsidRDefault="00897245" w:rsidP="001D0BF5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59574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0" cy="1924050"/>
                                                      <wp:effectExtent l="19050" t="0" r="0" b="0"/>
                                                      <wp:docPr id="64" name="Рисунок 14" descr="https://www.radial.ru/faq/texts/metodika2/metodika12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www.radial.ru/faq/texts/metodika2/metodika12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0" cy="1924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897245" w:rsidRDefault="00897245" w:rsidP="001D0BF5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  <w:t>Рисунок 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97245" w:rsidRDefault="00897245" w:rsidP="001D0BF5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97245" w:rsidRDefault="00897245" w:rsidP="001D0BF5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59574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0" cy="3552825"/>
                                                      <wp:effectExtent l="19050" t="0" r="0" b="0"/>
                                                      <wp:docPr id="65" name="Рисунок 15" descr="https://www.radial.ru/faq/texts/metodika2/metodika13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s://www.radial.ru/faq/texts/metodika2/metodika13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0" cy="35528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897245" w:rsidRDefault="00897245" w:rsidP="001D0BF5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  <w:t>Рисунок 11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97245" w:rsidRDefault="00897245" w:rsidP="001D0BF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</w:p>
                                        <w:p w:rsidR="00897245" w:rsidRDefault="00897245" w:rsidP="001D0BF5">
                                          <w:pPr>
                                            <w:pStyle w:val="a5"/>
                                            <w:spacing w:after="240" w:afterAutospacing="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Все эти параметры очень важны при построении антенно-фидерного тракта. Так, изучая АЧХ фильтра PF8-1V, который планируется использовать при построении ретранслятора по схеме на рисунке 10, мы определяем, что настроив фильтр с потерями -1,5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в полосе прозрачности (например, на частоте приёмника 160 МГц), сигнал передатчика с частотой 164 МГц будет ослаблен на, на 37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(см. рисунок 12). </w:t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595741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0" cy="1590675"/>
                                                <wp:effectExtent l="19050" t="0" r="0" b="0"/>
                                                <wp:docPr id="66" name="Рисунок 16" descr="https://www.radial.ru/faq/texts/metodika2/metodika14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s://www.radial.ru/faq/texts/metodika2/metodika14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1590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  <w:t>Рисунок 12</w:t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</w:p>
                                        <w:p w:rsidR="00897245" w:rsidRDefault="00897245" w:rsidP="001D0BF5">
                                          <w:pPr>
                                            <w:pStyle w:val="a5"/>
                                            <w:spacing w:after="240" w:afterAutospacing="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Если же ещё установить фильтр в цепи передатчика, то его шумы с частотой 160 МГц уменьшатся на 35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. Такой репитер требует уже гораздо меньшей изоляции между антеннами: 66-35=31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, а, значит, и меньшего горизонтального разноса (около 45 м). Вообще, в данной ситуации было бы грамотнее применять вместо полосовых фильтров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полосно-режекторные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, с гораздо большими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lastRenderedPageBreak/>
                                            <w:t>возможностями по изоляции (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см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. рис. 13). </w:t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595741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0" cy="1924050"/>
                                                <wp:effectExtent l="19050" t="0" r="0" b="0"/>
                                                <wp:docPr id="67" name="Рисунок 17" descr="https://www.radial.ru/faq/texts/metodika2/metodika15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www.radial.ru/faq/texts/metodika2/metodika15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1924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  <w:t>Рисунок 13</w:t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</w:p>
                                        <w:p w:rsidR="00897245" w:rsidRDefault="00897245" w:rsidP="001D0BF5">
                                          <w:pPr>
                                            <w:pStyle w:val="a5"/>
                                            <w:spacing w:after="240" w:afterAutospacing="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Характеристика такого фильтра имеет несимметричную форму с одним достаточно крутым скатом и точкой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режекции</w:t>
                                          </w:r>
                                          <w:proofErr w:type="spellEnd"/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А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, порой достигающей глубины -40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и способной перемещаться по частоте в зависимости от настройки. При этом глубина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режекции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меняется, когда изменяется частотный разнос (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см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. рис. 14). </w:t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595741"/>
                                            </w:rPr>
                                            <w:drawing>
                                              <wp:inline distT="0" distB="0" distL="0" distR="0">
                                                <wp:extent cx="1905000" cy="1685925"/>
                                                <wp:effectExtent l="19050" t="0" r="0" b="0"/>
                                                <wp:docPr id="68" name="Рисунок 18" descr="https://www.radial.ru/faq/texts/metodika2/metodika16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https://www.radial.ru/faq/texts/metodika2/metodika16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16859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  <w:t>Рисунок 14</w:t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</w:p>
                                        <w:p w:rsidR="00897245" w:rsidRDefault="00897245" w:rsidP="001D0BF5">
                                          <w:pPr>
                                            <w:pStyle w:val="a5"/>
                                            <w:spacing w:after="240" w:afterAutospacing="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Ослабление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режекции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при значительном сближении точек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А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и В можно восстановить, внеся дополнительные потери в полосе прозрачности (точка В), путём настройки поворотной площадки фильтра.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 xml:space="preserve">Такие фильтры устанавливают следующим образом: в антенной цепи приёмника включают фильтр, настроенный полосой прозрачности на частоту приёма, а полосой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режекции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на частоту передачи ретранслятора. В цепи передатчика — наоборот.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>Характеристика этого фильтра позволяет пропускать мощный сигнал передатчика в антенну и при этом давить его шумы на частоте приемника (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см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. рис. 15). </w:t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595741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905000" cy="1524000"/>
                                                <wp:effectExtent l="19050" t="0" r="0" b="0"/>
                                                <wp:docPr id="69" name="Рисунок 19" descr="https://www.radial.ru/faq/texts/metodika2/metodika17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s://www.radial.ru/faq/texts/metodika2/metodika17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2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1524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  <w:t>Рисунок 15</w:t>
                                          </w:r>
                                        </w:p>
                                        <w:p w:rsidR="00897245" w:rsidRDefault="00897245" w:rsidP="001D0BF5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595741"/>
                                            </w:rPr>
                                          </w:pPr>
                                        </w:p>
                                        <w:p w:rsidR="00897245" w:rsidRDefault="00897245" w:rsidP="001D0BF5">
                                          <w:pPr>
                                            <w:pStyle w:val="a5"/>
                                            <w:spacing w:after="240" w:afterAutospacing="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Тогда влияние передатчика на приемник будет ослаблено уже на 35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и до необходимой изоляции в 54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не хватает 19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, которые достигаются при разносе антенн на 3-4 метра.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br/>
                                            <w:t xml:space="preserve">Все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выше рассмотренные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примеры относились к стандартному разносу 4 МГц. На практике не всегда удаётся получить от ГСН такие частоты. Иногда приходится довольствоваться гораздо меньшим разносом в 0,5 — 1 МГц. В этом случае требования к антенно-фидерному оборудованию повышаются, т.к. требуется изоляция уже порядка 90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. Если планируется использовать схему с двумя разнесенными антеннами (а иногда это вообще единственный выход), то необходимо определить уровень изоляции по графику 1 для вертикально разнесенных антенн. Как видно, для достижения той же изоляции требуется расстояние в 10 раз меньше, чем при горизонтально размещенных антеннах. Причем, в данном случае антенны с усилением наоборот внесут дополнительную изоляцию (но не более 10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) по сравнению с дипольными антеннами. Хотя в горизонтальной плоскости они будут сильно экранированы мачтой, и круговой ДН уже не получится. В данной ситуации удачным выбором станут антенны серии D, DP или DH. Их боковое крепление как раз позволяет осуществить вертикальный разнос на одной мачте (рис. 16). Кроме того, антеннами D1, D2 и D4 можно получить ДН в форме кардиоиды, что не сильно отличается от круговой диаграммы (рис. 17). Расстояние S считается как расстояние между фазовыми центрами приемной и передающей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двухдипольной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антенной решетки. Причем, верхнюю антенну обычно используют для приёма как наиболее поднятую над землей. 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5"/>
                                            <w:gridCol w:w="66"/>
                                            <w:gridCol w:w="3105"/>
                                          </w:tblGrid>
                                          <w:tr w:rsidR="00897245" w:rsidTr="001D0BF5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97245" w:rsidRDefault="00897245" w:rsidP="001D0BF5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595741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905000" cy="3705225"/>
                                                      <wp:effectExtent l="19050" t="0" r="0" b="0"/>
                                                      <wp:docPr id="70" name="Рисунок 20" descr="https://www.radial.ru/faq/texts/metodika2/metodika18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s://www.radial.ru/faq/texts/metodika2/metodika18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0" cy="37052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897245" w:rsidRDefault="00897245" w:rsidP="001D0BF5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  <w:t>Рисунок 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97245" w:rsidRDefault="00897245" w:rsidP="001D0BF5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897245" w:rsidRDefault="00897245" w:rsidP="001D0BF5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59574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0" cy="1743075"/>
                                                      <wp:effectExtent l="19050" t="0" r="0" b="0"/>
                                                      <wp:docPr id="71" name="Рисунок 21" descr="https://www.radial.ru/faq/texts/metodika2/metodika19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www.radial.ru/faq/texts/metodika2/metodika19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0" cy="17430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897245" w:rsidRDefault="00897245" w:rsidP="001D0BF5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595741"/>
                                                  </w:rPr>
                                                  <w:t>Рисунок 17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97245" w:rsidRDefault="00897245" w:rsidP="001D0BF5">
                                          <w:pPr>
                                            <w:pStyle w:val="a5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Посчитаем теперь для нашего ретранслятора, какие понадобятся фильтры и с каким вертикальным разносом надо устанавливать антенны. По графику на рис. 6 видно, что при 400 кГц между частотами передачи и приёма требуется создать изоляцию между их входами 92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. Реализовать такие характеристики можно двумя способами. Во-первых, используя два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полосно-режекторных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фильтра PRF8-2V в комбинации с вертикальным разносом антенн. Во-вторых, работая на одну антенну с применением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дуплексера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DPR5-6V. В первом случае, каждый из фильтров создает изоляцию порядка 70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.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Недостающие 22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dB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можно достигнуть разнесением антенн на 4 метра по вертикали.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Во втором случае,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шестибаночный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дуплексер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реализует те же характеристики и позволит сэкономить, отказавшись от второй антенны и кабеля.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97245" w:rsidRDefault="00897245" w:rsidP="001D0BF5">
                                    <w:pPr>
                                      <w:shd w:val="clear" w:color="auto" w:fill="FFFFFF"/>
                                      <w:jc w:val="righ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595741"/>
                                      </w:rPr>
                                    </w:pPr>
                                    <w:hyperlink r:id="rId26" w:history="1">
                                      <w:r>
                                        <w:rPr>
                                          <w:rStyle w:val="a3"/>
                                          <w:rFonts w:ascii="Arial" w:eastAsia="Times New Roman" w:hAnsi="Arial" w:cs="Arial"/>
                                          <w:vanish/>
                                        </w:rPr>
                                        <w:t>Для просмотра диаграммы установите программу AT2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595741"/>
                                      </w:rPr>
                                      <w:t xml:space="preserve"> </w:t>
                                    </w:r>
                                  </w:p>
                                  <w:p w:rsidR="00897245" w:rsidRDefault="00897245" w:rsidP="001D0BF5">
                                    <w:pPr>
                                      <w:shd w:val="clear" w:color="auto" w:fill="FFFFFF"/>
                                      <w:jc w:val="righ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59574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97245" w:rsidRDefault="00897245" w:rsidP="001D0BF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7245" w:rsidRDefault="00897245" w:rsidP="001D0BF5">
                              <w:pPr>
                                <w:pStyle w:val="a5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0"/>
                              <w:vAlign w:val="center"/>
                              <w:hideMark/>
                            </w:tcPr>
                            <w:p w:rsidR="00897245" w:rsidRDefault="00897245" w:rsidP="001D0BF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595741"/>
                                </w:rPr>
                                <w:lastRenderedPageBreak/>
                                <w:t xml:space="preserve"> </w:t>
                              </w:r>
                            </w:p>
                          </w:tc>
                        </w:tr>
                      </w:tbl>
                      <w:p w:rsidR="00897245" w:rsidRDefault="00897245" w:rsidP="00196089">
                        <w:pPr>
                          <w:divId w:val="1021206661"/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595741"/>
                          </w:rPr>
                          <w:lastRenderedPageBreak/>
                          <w:t xml:space="preserve">  </w:t>
                        </w:r>
                      </w:p>
                      <w:p w:rsidR="00897245" w:rsidRDefault="00897245" w:rsidP="00196089">
                        <w:pPr>
                          <w:pStyle w:val="a5"/>
                          <w:jc w:val="center"/>
                          <w:divId w:val="1021206661"/>
                          <w:rPr>
                            <w:rFonts w:ascii="Arial" w:eastAsia="Times New Roman" w:hAnsi="Arial" w:cs="Arial"/>
                            <w:vanish/>
                          </w:rPr>
                        </w:pPr>
                        <w:hyperlink r:id="rId27" w:history="1">
                          <w:r>
                            <w:rPr>
                              <w:rStyle w:val="a3"/>
                              <w:rFonts w:ascii="Arial" w:eastAsia="Times New Roman" w:hAnsi="Arial" w:cs="Arial"/>
                              <w:vanish/>
                            </w:rPr>
                            <w:t>Для просмотра диаграммы установите программу AT2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vanish/>
                          </w:rPr>
                          <w:t xml:space="preserve"> </w:t>
                        </w:r>
                      </w:p>
                      <w:p w:rsidR="00897245" w:rsidRDefault="00897245">
                        <w:pPr>
                          <w:shd w:val="clear" w:color="auto" w:fill="FFFFFF"/>
                          <w:rPr>
                            <w:rFonts w:ascii="Arial" w:eastAsia="Times New Roman" w:hAnsi="Arial" w:cs="Arial"/>
                            <w:vanish/>
                            <w:color w:val="595741"/>
                          </w:rPr>
                        </w:pPr>
                      </w:p>
                    </w:tc>
                  </w:tr>
                </w:tbl>
                <w:p w:rsidR="00897245" w:rsidRDefault="00897245">
                  <w:pPr>
                    <w:pStyle w:val="a5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3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"/>
                  </w:tblGrid>
                  <w:tr w:rsidR="008972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7245" w:rsidRDefault="00897245">
                        <w:pPr>
                          <w:rPr>
                            <w:rFonts w:ascii="Arial" w:eastAsia="Times New Roman" w:hAnsi="Arial" w:cs="Arial"/>
                            <w:color w:val="595741"/>
                          </w:rPr>
                        </w:pPr>
                      </w:p>
                    </w:tc>
                  </w:tr>
                </w:tbl>
                <w:p w:rsidR="00897245" w:rsidRDefault="00897245">
                  <w:pPr>
                    <w:numPr>
                      <w:ilvl w:val="1"/>
                      <w:numId w:val="6"/>
                    </w:numPr>
                    <w:ind w:left="0"/>
                    <w:rPr>
                      <w:rFonts w:ascii="Arial" w:eastAsia="Times New Roman" w:hAnsi="Arial" w:cs="Arial"/>
                      <w:b/>
                      <w:bCs/>
                      <w:color w:val="595741"/>
                      <w:sz w:val="12"/>
                      <w:szCs w:val="12"/>
                    </w:rPr>
                  </w:pPr>
                </w:p>
                <w:p w:rsidR="00897245" w:rsidRDefault="00897245">
                  <w:pPr>
                    <w:rPr>
                      <w:rFonts w:ascii="Arial" w:eastAsia="Times New Roman" w:hAnsi="Arial" w:cs="Arial"/>
                      <w:color w:val="595741"/>
                    </w:rPr>
                  </w:pPr>
                  <w:r>
                    <w:rPr>
                      <w:rFonts w:ascii="Arial" w:eastAsia="Times New Roman" w:hAnsi="Arial" w:cs="Arial"/>
                      <w:color w:val="595741"/>
                    </w:rPr>
                    <w:br/>
                  </w:r>
                </w:p>
                <w:p w:rsidR="00897245" w:rsidRDefault="00897245" w:rsidP="00BF3382">
                  <w:pPr>
                    <w:jc w:val="center"/>
                    <w:rPr>
                      <w:rFonts w:ascii="Arial" w:eastAsia="Times New Roman" w:hAnsi="Arial" w:cs="Arial"/>
                      <w:color w:val="595741"/>
                    </w:rPr>
                  </w:pPr>
                  <w:hyperlink r:id="rId28" w:tgtFrame="_blanc" w:history="1">
                    <w:r>
                      <w:rPr>
                        <w:rFonts w:ascii="Arial" w:eastAsia="Times New Roman" w:hAnsi="Arial" w:cs="Arial"/>
                        <w:b/>
                        <w:bCs/>
                        <w:color w:val="FE3E00"/>
                        <w:sz w:val="20"/>
                        <w:szCs w:val="20"/>
                      </w:rPr>
                      <w:br/>
                    </w:r>
                  </w:hyperlink>
                  <w:r>
                    <w:rPr>
                      <w:rFonts w:ascii="Arial" w:eastAsia="Times New Roman" w:hAnsi="Arial" w:cs="Arial"/>
                      <w:color w:val="595741"/>
                    </w:rPr>
                    <w:t xml:space="preserve"> </w:t>
                  </w:r>
                </w:p>
              </w:tc>
            </w:tr>
          </w:tbl>
          <w:p w:rsidR="00897245" w:rsidRDefault="00897245">
            <w:pPr>
              <w:jc w:val="center"/>
              <w:rPr>
                <w:rFonts w:ascii="Arial" w:eastAsia="Times New Roman" w:hAnsi="Arial" w:cs="Arial"/>
                <w:color w:val="595741"/>
              </w:rPr>
            </w:pPr>
          </w:p>
        </w:tc>
      </w:tr>
    </w:tbl>
    <w:p w:rsidR="00A07167" w:rsidRDefault="00A07167">
      <w:pPr>
        <w:rPr>
          <w:rFonts w:eastAsia="Times New Roman"/>
        </w:rPr>
      </w:pPr>
    </w:p>
    <w:sectPr w:rsidR="00A07167" w:rsidSect="00A0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5D2B"/>
    <w:multiLevelType w:val="multilevel"/>
    <w:tmpl w:val="194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92A3F"/>
    <w:multiLevelType w:val="multilevel"/>
    <w:tmpl w:val="F418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04F29"/>
    <w:multiLevelType w:val="multilevel"/>
    <w:tmpl w:val="166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83C89"/>
    <w:multiLevelType w:val="multilevel"/>
    <w:tmpl w:val="0FE2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D221F"/>
    <w:multiLevelType w:val="multilevel"/>
    <w:tmpl w:val="6F3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40E2C"/>
    <w:multiLevelType w:val="multilevel"/>
    <w:tmpl w:val="C35E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633F7"/>
    <w:multiLevelType w:val="multilevel"/>
    <w:tmpl w:val="3B9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11929"/>
    <w:rsid w:val="00196089"/>
    <w:rsid w:val="00897245"/>
    <w:rsid w:val="00A07167"/>
    <w:rsid w:val="00BF3382"/>
    <w:rsid w:val="00E1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67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7167"/>
    <w:pPr>
      <w:spacing w:before="100" w:beforeAutospacing="1" w:after="100" w:afterAutospacing="1"/>
      <w:jc w:val="center"/>
      <w:textAlignment w:val="bottom"/>
      <w:outlineLvl w:val="0"/>
    </w:pPr>
    <w:rPr>
      <w:rFonts w:ascii="Arial" w:hAnsi="Arial" w:cs="Arial"/>
      <w:b/>
      <w:bCs/>
      <w:i/>
      <w:iCs/>
      <w:color w:val="FB6604"/>
      <w:kern w:val="36"/>
    </w:rPr>
  </w:style>
  <w:style w:type="paragraph" w:styleId="2">
    <w:name w:val="heading 2"/>
    <w:basedOn w:val="a"/>
    <w:link w:val="20"/>
    <w:uiPriority w:val="9"/>
    <w:qFormat/>
    <w:rsid w:val="00A07167"/>
    <w:pPr>
      <w:spacing w:before="100" w:beforeAutospacing="1" w:after="100" w:afterAutospacing="1"/>
      <w:outlineLvl w:val="1"/>
    </w:pPr>
    <w:rPr>
      <w:b/>
      <w:bCs/>
      <w:color w:val="FB6604"/>
    </w:rPr>
  </w:style>
  <w:style w:type="paragraph" w:styleId="3">
    <w:name w:val="heading 3"/>
    <w:basedOn w:val="a"/>
    <w:link w:val="30"/>
    <w:uiPriority w:val="9"/>
    <w:qFormat/>
    <w:rsid w:val="00A07167"/>
    <w:pPr>
      <w:spacing w:before="100" w:beforeAutospacing="1" w:after="100" w:afterAutospacing="1"/>
      <w:outlineLvl w:val="2"/>
    </w:pPr>
    <w:rPr>
      <w:b/>
      <w:bCs/>
      <w:color w:val="5957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167"/>
    <w:rPr>
      <w:b/>
      <w:bCs/>
      <w:strike w:val="0"/>
      <w:dstrike w:val="0"/>
      <w:color w:val="59574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07167"/>
    <w:rPr>
      <w:b/>
      <w:bCs/>
      <w:strike w:val="0"/>
      <w:dstrike w:val="0"/>
      <w:color w:val="706F69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A07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7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unhideWhenUsed/>
    <w:rsid w:val="00A07167"/>
    <w:pPr>
      <w:spacing w:before="100" w:beforeAutospacing="1" w:after="100" w:afterAutospacing="1"/>
    </w:pPr>
    <w:rPr>
      <w:color w:val="595741"/>
    </w:rPr>
  </w:style>
  <w:style w:type="paragraph" w:customStyle="1" w:styleId="h1">
    <w:name w:val="h1"/>
    <w:basedOn w:val="a"/>
    <w:rsid w:val="00A07167"/>
    <w:pPr>
      <w:shd w:val="clear" w:color="auto" w:fill="F5DD6D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i/>
      <w:iCs/>
      <w:color w:val="FB6604"/>
    </w:rPr>
  </w:style>
  <w:style w:type="paragraph" w:customStyle="1" w:styleId="sm">
    <w:name w:val="sm"/>
    <w:basedOn w:val="a"/>
    <w:rsid w:val="00A07167"/>
    <w:pPr>
      <w:spacing w:before="100" w:beforeAutospacing="1" w:after="100" w:afterAutospacing="1" w:line="301" w:lineRule="atLeast"/>
    </w:pPr>
    <w:rPr>
      <w:color w:val="FE3E00"/>
      <w:sz w:val="20"/>
      <w:szCs w:val="20"/>
    </w:rPr>
  </w:style>
  <w:style w:type="paragraph" w:customStyle="1" w:styleId="imgtab">
    <w:name w:val="imgtab"/>
    <w:basedOn w:val="a"/>
    <w:rsid w:val="00A07167"/>
    <w:pPr>
      <w:spacing w:before="100" w:beforeAutospacing="1" w:after="100" w:afterAutospacing="1"/>
    </w:pPr>
    <w:rPr>
      <w:color w:val="595741"/>
      <w:sz w:val="27"/>
      <w:szCs w:val="27"/>
    </w:rPr>
  </w:style>
  <w:style w:type="paragraph" w:customStyle="1" w:styleId="11">
    <w:name w:val="Верхний колонтитул1"/>
    <w:basedOn w:val="a"/>
    <w:rsid w:val="00A07167"/>
    <w:pPr>
      <w:shd w:val="clear" w:color="auto" w:fill="FFCE14"/>
      <w:spacing w:before="100" w:beforeAutospacing="1" w:after="100" w:afterAutospacing="1"/>
    </w:pPr>
    <w:rPr>
      <w:rFonts w:ascii="Arial" w:hAnsi="Arial" w:cs="Arial"/>
      <w:color w:val="595741"/>
      <w:sz w:val="19"/>
      <w:szCs w:val="19"/>
    </w:rPr>
  </w:style>
  <w:style w:type="paragraph" w:customStyle="1" w:styleId="datatab">
    <w:name w:val="datatab"/>
    <w:basedOn w:val="a"/>
    <w:rsid w:val="00A07167"/>
    <w:pPr>
      <w:spacing w:before="100" w:beforeAutospacing="1" w:after="100" w:afterAutospacing="1"/>
    </w:pPr>
    <w:rPr>
      <w:rFonts w:ascii="Arial" w:hAnsi="Arial" w:cs="Arial"/>
      <w:b/>
      <w:bCs/>
      <w:color w:val="595741"/>
      <w:sz w:val="19"/>
      <w:szCs w:val="19"/>
    </w:rPr>
  </w:style>
  <w:style w:type="paragraph" w:customStyle="1" w:styleId="data0">
    <w:name w:val="data0"/>
    <w:basedOn w:val="a"/>
    <w:rsid w:val="00A07167"/>
    <w:pPr>
      <w:shd w:val="clear" w:color="auto" w:fill="FFC861"/>
      <w:spacing w:before="100" w:beforeAutospacing="1" w:after="100" w:afterAutospacing="1"/>
    </w:pPr>
    <w:rPr>
      <w:rFonts w:ascii="Arial" w:hAnsi="Arial" w:cs="Arial"/>
      <w:b/>
      <w:bCs/>
      <w:color w:val="595741"/>
      <w:sz w:val="19"/>
      <w:szCs w:val="19"/>
    </w:rPr>
  </w:style>
  <w:style w:type="paragraph" w:customStyle="1" w:styleId="data1">
    <w:name w:val="data1"/>
    <w:basedOn w:val="a"/>
    <w:rsid w:val="00A07167"/>
    <w:pPr>
      <w:shd w:val="clear" w:color="auto" w:fill="FCE7A6"/>
      <w:spacing w:before="100" w:beforeAutospacing="1" w:after="100" w:afterAutospacing="1"/>
    </w:pPr>
    <w:rPr>
      <w:rFonts w:ascii="Arial" w:hAnsi="Arial" w:cs="Arial"/>
      <w:color w:val="595741"/>
      <w:sz w:val="19"/>
      <w:szCs w:val="19"/>
    </w:rPr>
  </w:style>
  <w:style w:type="paragraph" w:customStyle="1" w:styleId="hoverrow">
    <w:name w:val="hoverrow"/>
    <w:basedOn w:val="a"/>
    <w:rsid w:val="00A07167"/>
    <w:pPr>
      <w:shd w:val="clear" w:color="auto" w:fill="FFC861"/>
      <w:spacing w:before="100" w:beforeAutospacing="1" w:after="100" w:afterAutospacing="1"/>
    </w:pPr>
    <w:rPr>
      <w:color w:val="595741"/>
    </w:rPr>
  </w:style>
  <w:style w:type="paragraph" w:customStyle="1" w:styleId="clickedrow">
    <w:name w:val="clickedrow"/>
    <w:basedOn w:val="a"/>
    <w:rsid w:val="00A07167"/>
    <w:pPr>
      <w:shd w:val="clear" w:color="auto" w:fill="FFB750"/>
      <w:spacing w:before="100" w:beforeAutospacing="1" w:after="100" w:afterAutospacing="1"/>
    </w:pPr>
    <w:rPr>
      <w:color w:val="595741"/>
    </w:rPr>
  </w:style>
  <w:style w:type="paragraph" w:customStyle="1" w:styleId="data2">
    <w:name w:val="data2"/>
    <w:basedOn w:val="a"/>
    <w:rsid w:val="00A07167"/>
    <w:pPr>
      <w:shd w:val="clear" w:color="auto" w:fill="FAE282"/>
      <w:spacing w:before="100" w:beforeAutospacing="1" w:after="100" w:afterAutospacing="1"/>
    </w:pPr>
    <w:rPr>
      <w:rFonts w:ascii="Arial" w:hAnsi="Arial" w:cs="Arial"/>
      <w:color w:val="595741"/>
      <w:sz w:val="19"/>
      <w:szCs w:val="19"/>
    </w:rPr>
  </w:style>
  <w:style w:type="paragraph" w:customStyle="1" w:styleId="head4">
    <w:name w:val="head4"/>
    <w:basedOn w:val="a"/>
    <w:rsid w:val="00A07167"/>
    <w:pPr>
      <w:shd w:val="clear" w:color="auto" w:fill="FFCE14"/>
      <w:spacing w:before="100" w:beforeAutospacing="1" w:after="100" w:afterAutospacing="1"/>
    </w:pPr>
    <w:rPr>
      <w:b/>
      <w:bCs/>
      <w:color w:val="595741"/>
    </w:rPr>
  </w:style>
  <w:style w:type="paragraph" w:customStyle="1" w:styleId="supertable">
    <w:name w:val="supertable"/>
    <w:basedOn w:val="a"/>
    <w:rsid w:val="00A07167"/>
    <w:pPr>
      <w:spacing w:before="100" w:beforeAutospacing="1" w:after="100" w:afterAutospacing="1"/>
    </w:pPr>
    <w:rPr>
      <w:color w:val="595741"/>
    </w:rPr>
  </w:style>
  <w:style w:type="paragraph" w:customStyle="1" w:styleId="maintable">
    <w:name w:val="maintable"/>
    <w:basedOn w:val="a"/>
    <w:rsid w:val="00A07167"/>
    <w:pPr>
      <w:spacing w:before="100" w:beforeAutospacing="1" w:after="100" w:afterAutospacing="1"/>
    </w:pPr>
    <w:rPr>
      <w:color w:val="595741"/>
    </w:rPr>
  </w:style>
  <w:style w:type="paragraph" w:customStyle="1" w:styleId="mainright">
    <w:name w:val="mainright"/>
    <w:basedOn w:val="a"/>
    <w:rsid w:val="00A07167"/>
    <w:pPr>
      <w:shd w:val="clear" w:color="auto" w:fill="FFEBC1"/>
      <w:spacing w:before="100" w:beforeAutospacing="1" w:after="100" w:afterAutospacing="1"/>
    </w:pPr>
    <w:rPr>
      <w:color w:val="595741"/>
    </w:rPr>
  </w:style>
  <w:style w:type="paragraph" w:customStyle="1" w:styleId="mainleft">
    <w:name w:val="mainleft"/>
    <w:basedOn w:val="a"/>
    <w:rsid w:val="00A07167"/>
    <w:pPr>
      <w:shd w:val="clear" w:color="auto" w:fill="F7DE65"/>
      <w:spacing w:before="100" w:beforeAutospacing="1" w:after="100" w:afterAutospacing="1"/>
    </w:pPr>
    <w:rPr>
      <w:color w:val="595741"/>
    </w:rPr>
  </w:style>
  <w:style w:type="paragraph" w:customStyle="1" w:styleId="line">
    <w:name w:val="line"/>
    <w:basedOn w:val="a"/>
    <w:rsid w:val="00A07167"/>
    <w:pPr>
      <w:spacing w:before="100" w:beforeAutospacing="1" w:after="100" w:afterAutospacing="1"/>
    </w:pPr>
    <w:rPr>
      <w:color w:val="595741"/>
    </w:rPr>
  </w:style>
  <w:style w:type="paragraph" w:customStyle="1" w:styleId="help-tooltip">
    <w:name w:val="help-tooltip"/>
    <w:basedOn w:val="a"/>
    <w:rsid w:val="00A07167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clear" w:color="auto" w:fill="F9E171"/>
      <w:spacing w:before="100" w:beforeAutospacing="1" w:after="100" w:afterAutospacing="1"/>
    </w:pPr>
    <w:rPr>
      <w:rFonts w:ascii="Tahoma" w:hAnsi="Tahoma" w:cs="Tahoma"/>
      <w:color w:val="496F9A"/>
      <w:sz w:val="19"/>
      <w:szCs w:val="19"/>
    </w:rPr>
  </w:style>
  <w:style w:type="paragraph" w:customStyle="1" w:styleId="count">
    <w:name w:val="count"/>
    <w:basedOn w:val="a"/>
    <w:rsid w:val="00A07167"/>
    <w:pPr>
      <w:spacing w:before="100" w:beforeAutospacing="1" w:after="100" w:afterAutospacing="1"/>
    </w:pPr>
    <w:rPr>
      <w:b/>
      <w:bCs/>
      <w:color w:val="595741"/>
      <w:sz w:val="20"/>
      <w:szCs w:val="20"/>
    </w:rPr>
  </w:style>
  <w:style w:type="paragraph" w:customStyle="1" w:styleId="form">
    <w:name w:val="form"/>
    <w:basedOn w:val="a"/>
    <w:rsid w:val="00A07167"/>
    <w:pPr>
      <w:pBdr>
        <w:top w:val="single" w:sz="6" w:space="21" w:color="CCCCCC"/>
        <w:left w:val="single" w:sz="6" w:space="21" w:color="CCCCCC"/>
        <w:bottom w:val="single" w:sz="6" w:space="21" w:color="CCCCCC"/>
        <w:right w:val="single" w:sz="6" w:space="21" w:color="CCCCCC"/>
      </w:pBdr>
      <w:spacing w:before="100" w:beforeAutospacing="1" w:after="100" w:afterAutospacing="1"/>
    </w:pPr>
    <w:rPr>
      <w:color w:val="595741"/>
    </w:rPr>
  </w:style>
  <w:style w:type="paragraph" w:customStyle="1" w:styleId="formfield">
    <w:name w:val="form__field"/>
    <w:basedOn w:val="a"/>
    <w:rsid w:val="00A07167"/>
    <w:pPr>
      <w:spacing w:before="100" w:beforeAutospacing="1" w:after="167"/>
    </w:pPr>
    <w:rPr>
      <w:color w:val="595741"/>
    </w:rPr>
  </w:style>
  <w:style w:type="paragraph" w:customStyle="1" w:styleId="formerror">
    <w:name w:val="form__error"/>
    <w:basedOn w:val="a"/>
    <w:rsid w:val="00A07167"/>
    <w:pPr>
      <w:spacing w:before="50" w:after="100" w:afterAutospacing="1"/>
    </w:pPr>
    <w:rPr>
      <w:vanish/>
      <w:color w:val="FF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6661">
      <w:marLeft w:val="0"/>
      <w:marRight w:val="0"/>
      <w:marTop w:val="0"/>
      <w:marBottom w:val="0"/>
      <w:divBdr>
        <w:top w:val="single" w:sz="24" w:space="4" w:color="auto"/>
        <w:left w:val="single" w:sz="24" w:space="4" w:color="auto"/>
        <w:bottom w:val="single" w:sz="24" w:space="4" w:color="auto"/>
        <w:right w:val="single" w:sz="24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radial.ru/faq/texts/images/metodika3.gif" TargetMode="External"/><Relationship Id="rId13" Type="http://schemas.openxmlformats.org/officeDocument/2006/relationships/image" Target="https://www.radial.ru/faq/texts/metodika/metodika7.gif" TargetMode="External"/><Relationship Id="rId18" Type="http://schemas.openxmlformats.org/officeDocument/2006/relationships/image" Target="https://www.radial.ru/faq/texts/metodika2/metodika12.gif" TargetMode="External"/><Relationship Id="rId26" Type="http://schemas.openxmlformats.org/officeDocument/2006/relationships/hyperlink" Target="https://www.radial.ru/at2" TargetMode="External"/><Relationship Id="rId3" Type="http://schemas.openxmlformats.org/officeDocument/2006/relationships/styles" Target="styles.xml"/><Relationship Id="rId21" Type="http://schemas.openxmlformats.org/officeDocument/2006/relationships/image" Target="https://www.radial.ru/faq/texts/metodika2/metodika15.gif" TargetMode="External"/><Relationship Id="rId7" Type="http://schemas.openxmlformats.org/officeDocument/2006/relationships/image" Target="https://www.radial.ru/faq/texts/images/metodika2.gif" TargetMode="External"/><Relationship Id="rId12" Type="http://schemas.openxmlformats.org/officeDocument/2006/relationships/image" Target="https://www.radial.ru/faq/texts/metodika/metodika6-2.gif" TargetMode="External"/><Relationship Id="rId17" Type="http://schemas.openxmlformats.org/officeDocument/2006/relationships/image" Target="https://www.radial.ru/faq/texts/metodika2/metodika11.gif" TargetMode="External"/><Relationship Id="rId25" Type="http://schemas.openxmlformats.org/officeDocument/2006/relationships/image" Target="https://www.radial.ru/faq/texts/metodika2/metodika19.gif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www.radial.ru/faq/texts/metodika2/metodika10.gif" TargetMode="External"/><Relationship Id="rId20" Type="http://schemas.openxmlformats.org/officeDocument/2006/relationships/image" Target="https://www.radial.ru/faq/texts/metodika2/metodika14.gi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https://www.radial.ru/faq/texts/images/metodika1.gif" TargetMode="External"/><Relationship Id="rId11" Type="http://schemas.openxmlformats.org/officeDocument/2006/relationships/image" Target="https://www.radial.ru/faq/texts/metodika/metodika6-1.gif" TargetMode="External"/><Relationship Id="rId24" Type="http://schemas.openxmlformats.org/officeDocument/2006/relationships/image" Target="https://www.radial.ru/faq/texts/metodika2/metodika18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www.radial.ru/faq/texts/metodika2/metodika9.gif" TargetMode="External"/><Relationship Id="rId23" Type="http://schemas.openxmlformats.org/officeDocument/2006/relationships/image" Target="https://www.radial.ru/faq/texts/metodika2/metodika17.gif" TargetMode="External"/><Relationship Id="rId28" Type="http://schemas.openxmlformats.org/officeDocument/2006/relationships/hyperlink" Target="https://nvis.club/" TargetMode="External"/><Relationship Id="rId10" Type="http://schemas.openxmlformats.org/officeDocument/2006/relationships/image" Target="https://www.radial.ru/faq/texts/metodika/metodika5.gif" TargetMode="External"/><Relationship Id="rId19" Type="http://schemas.openxmlformats.org/officeDocument/2006/relationships/image" Target="https://www.radial.ru/faq/texts/metodika2/metodika13.gif" TargetMode="External"/><Relationship Id="rId4" Type="http://schemas.openxmlformats.org/officeDocument/2006/relationships/settings" Target="settings.xml"/><Relationship Id="rId9" Type="http://schemas.openxmlformats.org/officeDocument/2006/relationships/image" Target="https://www.radial.ru/faq/texts/images/metodika4.gif" TargetMode="External"/><Relationship Id="rId14" Type="http://schemas.openxmlformats.org/officeDocument/2006/relationships/image" Target="https://www.radial.ru/faq/texts/metodika/metodika8.gif" TargetMode="External"/><Relationship Id="rId22" Type="http://schemas.openxmlformats.org/officeDocument/2006/relationships/image" Target="https://www.radial.ru/faq/texts/metodika2/metodika16.gif" TargetMode="External"/><Relationship Id="rId27" Type="http://schemas.openxmlformats.org/officeDocument/2006/relationships/hyperlink" Target="https://www.radial.ru/at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2297-43BD-45CE-9127-2B36EEC3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1691</Words>
  <Characters>10793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Методика расчета уровней изоляции приемника от передатчика в дуплексном ретрансляторе. : Радиал : </vt:lpstr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уровней изоляции приемника от передатчика в дуплексном ретрансляторе. : Радиал :</dc:title>
  <dc:creator>pc-2</dc:creator>
  <cp:lastModifiedBy>pc-2</cp:lastModifiedBy>
  <cp:revision>3</cp:revision>
  <dcterms:created xsi:type="dcterms:W3CDTF">2024-02-13T06:51:00Z</dcterms:created>
  <dcterms:modified xsi:type="dcterms:W3CDTF">2024-02-15T09:08:00Z</dcterms:modified>
</cp:coreProperties>
</file>